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D9285" w14:textId="0236B0DB" w:rsidR="006A67CD" w:rsidRPr="006A67CD" w:rsidRDefault="009801E7" w:rsidP="006A67CD">
      <w:pPr>
        <w:spacing w:line="240" w:lineRule="auto"/>
        <w:rPr>
          <w:rFonts w:eastAsia="Verdana"/>
          <w:b/>
          <w:bCs/>
          <w:color w:val="000000" w:themeColor="text1"/>
          <w:lang w:val="en-CA"/>
        </w:rPr>
      </w:pPr>
      <w:r>
        <w:rPr>
          <w:rFonts w:eastAsia="Verdana"/>
          <w:b/>
          <w:bCs/>
          <w:color w:val="000000" w:themeColor="text1"/>
          <w:lang w:val="en-CA"/>
        </w:rPr>
        <w:t>Composer’s Note by Alexia Marsh</w:t>
      </w:r>
    </w:p>
    <w:p w14:paraId="21570558" w14:textId="77777777" w:rsidR="006A67CD" w:rsidRDefault="006A67CD" w:rsidP="006A67CD">
      <w:pPr>
        <w:spacing w:line="240" w:lineRule="auto"/>
        <w:rPr>
          <w:rFonts w:eastAsia="Verdana"/>
          <w:i/>
          <w:iCs/>
          <w:color w:val="000000" w:themeColor="text1"/>
          <w:lang w:val="en-CA"/>
        </w:rPr>
      </w:pPr>
    </w:p>
    <w:p w14:paraId="0AAA3CED" w14:textId="463B5CE1" w:rsidR="006A67CD" w:rsidRPr="006A67CD" w:rsidRDefault="006A67CD" w:rsidP="006A67CD">
      <w:pPr>
        <w:spacing w:line="240" w:lineRule="auto"/>
        <w:rPr>
          <w:rFonts w:eastAsia="Verdana"/>
          <w:color w:val="000000" w:themeColor="text1"/>
          <w:lang w:val="en-CA"/>
        </w:rPr>
      </w:pPr>
      <w:r w:rsidRPr="006A67CD">
        <w:rPr>
          <w:rFonts w:eastAsia="Verdana"/>
          <w:i/>
          <w:iCs/>
          <w:color w:val="000000" w:themeColor="text1"/>
          <w:lang w:val="en-CA"/>
        </w:rPr>
        <w:t xml:space="preserve">View of a Cartwheel </w:t>
      </w:r>
      <w:proofErr w:type="gramStart"/>
      <w:r w:rsidR="005223DF">
        <w:rPr>
          <w:rFonts w:eastAsia="Verdana"/>
          <w:i/>
          <w:iCs/>
          <w:color w:val="000000" w:themeColor="text1"/>
          <w:lang w:val="en-CA"/>
        </w:rPr>
        <w:t>F</w:t>
      </w:r>
      <w:r w:rsidRPr="006A67CD">
        <w:rPr>
          <w:rFonts w:eastAsia="Verdana"/>
          <w:i/>
          <w:iCs/>
          <w:color w:val="000000" w:themeColor="text1"/>
          <w:lang w:val="en-CA"/>
        </w:rPr>
        <w:t>rom</w:t>
      </w:r>
      <w:proofErr w:type="gramEnd"/>
      <w:r w:rsidRPr="006A67CD">
        <w:rPr>
          <w:rFonts w:eastAsia="Verdana"/>
          <w:i/>
          <w:iCs/>
          <w:color w:val="000000" w:themeColor="text1"/>
          <w:lang w:val="en-CA"/>
        </w:rPr>
        <w:t xml:space="preserve"> </w:t>
      </w:r>
      <w:proofErr w:type="gramStart"/>
      <w:r w:rsidR="005223DF">
        <w:rPr>
          <w:rFonts w:eastAsia="Verdana"/>
          <w:i/>
          <w:iCs/>
          <w:color w:val="000000" w:themeColor="text1"/>
          <w:lang w:val="en-CA"/>
        </w:rPr>
        <w:t>A</w:t>
      </w:r>
      <w:r w:rsidRPr="006A67CD">
        <w:rPr>
          <w:rFonts w:eastAsia="Verdana"/>
          <w:i/>
          <w:iCs/>
          <w:color w:val="000000" w:themeColor="text1"/>
          <w:lang w:val="en-CA"/>
        </w:rPr>
        <w:t>n</w:t>
      </w:r>
      <w:proofErr w:type="gramEnd"/>
      <w:r w:rsidRPr="006A67CD">
        <w:rPr>
          <w:rFonts w:eastAsia="Verdana"/>
          <w:i/>
          <w:iCs/>
          <w:color w:val="000000" w:themeColor="text1"/>
          <w:lang w:val="en-CA"/>
        </w:rPr>
        <w:t xml:space="preserve"> Ascending Plane</w:t>
      </w:r>
      <w:r w:rsidRPr="006A67CD">
        <w:rPr>
          <w:rFonts w:eastAsia="Verdana"/>
          <w:color w:val="000000" w:themeColor="text1"/>
          <w:lang w:val="en-CA"/>
        </w:rPr>
        <w:t xml:space="preserve"> for Flute Solo and Orchestra is a six-part concerto functioning as a collage of lived experience. The work is woven from three distinct threads: the vastness of the Canadian West</w:t>
      </w:r>
      <w:r w:rsidR="003273BC">
        <w:rPr>
          <w:rFonts w:eastAsia="Verdana"/>
          <w:color w:val="000000" w:themeColor="text1"/>
          <w:lang w:val="en-CA"/>
        </w:rPr>
        <w:t xml:space="preserve"> </w:t>
      </w:r>
      <w:r w:rsidR="003273BC" w:rsidRPr="00C363D1">
        <w:rPr>
          <w:rFonts w:eastAsia="Verdana"/>
          <w:color w:val="000000" w:themeColor="text1"/>
          <w:lang w:val="en-CA"/>
        </w:rPr>
        <w:t>grounded in the Manitoban landscape</w:t>
      </w:r>
      <w:r w:rsidRPr="006A67CD">
        <w:rPr>
          <w:rFonts w:eastAsia="Verdana"/>
          <w:color w:val="000000" w:themeColor="text1"/>
          <w:lang w:val="en-CA"/>
        </w:rPr>
        <w:t>, the evolution of human connection, and the vertical trajectory of personal ambition.</w:t>
      </w:r>
    </w:p>
    <w:p w14:paraId="0AF63600" w14:textId="77777777" w:rsidR="006A67CD" w:rsidRDefault="006A67CD" w:rsidP="006A67CD">
      <w:pPr>
        <w:spacing w:line="240" w:lineRule="auto"/>
        <w:rPr>
          <w:rFonts w:eastAsia="Verdana"/>
          <w:color w:val="000000" w:themeColor="text1"/>
          <w:lang w:val="en-CA"/>
        </w:rPr>
      </w:pPr>
    </w:p>
    <w:p w14:paraId="3FEFFE7B" w14:textId="121BF3AC" w:rsidR="006A67CD" w:rsidRDefault="006A67CD" w:rsidP="006A67CD">
      <w:pPr>
        <w:spacing w:line="240" w:lineRule="auto"/>
        <w:rPr>
          <w:rFonts w:eastAsia="Verdana"/>
          <w:color w:val="000000" w:themeColor="text1"/>
          <w:lang w:val="en-CA"/>
        </w:rPr>
      </w:pPr>
      <w:r w:rsidRPr="006A67CD">
        <w:rPr>
          <w:rFonts w:eastAsia="Verdana"/>
          <w:color w:val="000000" w:themeColor="text1"/>
          <w:lang w:val="en-CA"/>
        </w:rPr>
        <w:t xml:space="preserve">The </w:t>
      </w:r>
      <w:r>
        <w:rPr>
          <w:rFonts w:eastAsia="Verdana"/>
          <w:color w:val="000000" w:themeColor="text1"/>
          <w:lang w:val="en-CA"/>
        </w:rPr>
        <w:t xml:space="preserve">concerto is composed of </w:t>
      </w:r>
      <w:r w:rsidRPr="006A67CD">
        <w:rPr>
          <w:rFonts w:eastAsia="Verdana"/>
          <w:color w:val="000000" w:themeColor="text1"/>
          <w:lang w:val="en-CA"/>
        </w:rPr>
        <w:t>six part</w:t>
      </w:r>
      <w:r>
        <w:rPr>
          <w:rFonts w:eastAsia="Verdana"/>
          <w:color w:val="000000" w:themeColor="text1"/>
          <w:lang w:val="en-CA"/>
        </w:rPr>
        <w:t>s</w:t>
      </w:r>
      <w:r w:rsidRPr="006A67CD">
        <w:rPr>
          <w:rFonts w:eastAsia="Verdana"/>
          <w:color w:val="000000" w:themeColor="text1"/>
          <w:lang w:val="en-CA"/>
        </w:rPr>
        <w:t>:</w:t>
      </w:r>
    </w:p>
    <w:p w14:paraId="54AE5838" w14:textId="77777777" w:rsidR="006A67CD" w:rsidRPr="006A67CD" w:rsidRDefault="006A67CD" w:rsidP="006A67CD">
      <w:pPr>
        <w:spacing w:line="240" w:lineRule="auto"/>
        <w:rPr>
          <w:rFonts w:eastAsia="Verdana"/>
          <w:color w:val="000000" w:themeColor="text1"/>
          <w:lang w:val="en-CA"/>
        </w:rPr>
      </w:pPr>
    </w:p>
    <w:p w14:paraId="750278DE" w14:textId="63C8D64D" w:rsidR="006A67CD" w:rsidRDefault="006A67CD" w:rsidP="00683662">
      <w:pPr>
        <w:spacing w:line="240" w:lineRule="auto"/>
        <w:ind w:left="567"/>
        <w:rPr>
          <w:rFonts w:eastAsia="Verdana"/>
          <w:color w:val="000000" w:themeColor="text1"/>
          <w:lang w:val="en-CA"/>
        </w:rPr>
      </w:pPr>
      <w:r w:rsidRPr="006A67CD">
        <w:rPr>
          <w:rFonts w:eastAsia="Verdana"/>
          <w:color w:val="000000" w:themeColor="text1"/>
          <w:lang w:val="en-CA"/>
        </w:rPr>
        <w:t>Prelude</w:t>
      </w:r>
      <w:r>
        <w:rPr>
          <w:rFonts w:eastAsia="Verdana"/>
          <w:color w:val="000000" w:themeColor="text1"/>
          <w:lang w:val="en-CA"/>
        </w:rPr>
        <w:t>: T</w:t>
      </w:r>
      <w:r w:rsidRPr="006A67CD">
        <w:rPr>
          <w:rFonts w:eastAsia="Verdana"/>
          <w:color w:val="000000" w:themeColor="text1"/>
          <w:lang w:val="en-CA"/>
        </w:rPr>
        <w:t>he soloist</w:t>
      </w:r>
      <w:r>
        <w:rPr>
          <w:rFonts w:eastAsia="Verdana"/>
          <w:color w:val="000000" w:themeColor="text1"/>
          <w:lang w:val="en-CA"/>
        </w:rPr>
        <w:t xml:space="preserve"> </w:t>
      </w:r>
      <w:r w:rsidRPr="006A67CD">
        <w:rPr>
          <w:rFonts w:eastAsia="Verdana"/>
          <w:color w:val="000000" w:themeColor="text1"/>
          <w:lang w:val="en-CA"/>
        </w:rPr>
        <w:t>play</w:t>
      </w:r>
      <w:r>
        <w:rPr>
          <w:rFonts w:eastAsia="Verdana"/>
          <w:color w:val="000000" w:themeColor="text1"/>
          <w:lang w:val="en-CA"/>
        </w:rPr>
        <w:t>s</w:t>
      </w:r>
      <w:r w:rsidRPr="006A67CD">
        <w:rPr>
          <w:rFonts w:eastAsia="Verdana"/>
          <w:color w:val="000000" w:themeColor="text1"/>
          <w:lang w:val="en-CA"/>
        </w:rPr>
        <w:t xml:space="preserve"> this prelude before the orchestra joins. It contains all thematic material from which the rest of the concerto develops and represents one of the early pieces a young musician would learn and perform to audition for ensembles or college programs.</w:t>
      </w:r>
    </w:p>
    <w:p w14:paraId="5E9B09DD" w14:textId="77777777" w:rsidR="006A67CD" w:rsidRPr="006A67CD" w:rsidRDefault="006A67CD" w:rsidP="006A67CD">
      <w:pPr>
        <w:spacing w:line="240" w:lineRule="auto"/>
        <w:rPr>
          <w:rFonts w:eastAsia="Verdana"/>
          <w:color w:val="000000" w:themeColor="text1"/>
          <w:lang w:val="en-CA"/>
        </w:rPr>
      </w:pPr>
    </w:p>
    <w:p w14:paraId="7AE3C1B9" w14:textId="52070D7B" w:rsidR="006A67CD" w:rsidRPr="006A67CD" w:rsidRDefault="006A67CD" w:rsidP="006A67CD">
      <w:pPr>
        <w:pStyle w:val="ListParagraph"/>
        <w:numPr>
          <w:ilvl w:val="0"/>
          <w:numId w:val="6"/>
        </w:numPr>
        <w:spacing w:line="240" w:lineRule="auto"/>
        <w:ind w:left="567" w:hanging="283"/>
        <w:rPr>
          <w:rFonts w:eastAsia="Verdana"/>
          <w:color w:val="000000" w:themeColor="text1"/>
          <w:lang w:val="en-CA"/>
        </w:rPr>
      </w:pPr>
      <w:r>
        <w:rPr>
          <w:rFonts w:eastAsia="Verdana"/>
          <w:color w:val="000000" w:themeColor="text1"/>
          <w:lang w:val="en-CA"/>
        </w:rPr>
        <w:t>S</w:t>
      </w:r>
      <w:r w:rsidRPr="006A67CD">
        <w:rPr>
          <w:rFonts w:eastAsia="Verdana"/>
          <w:color w:val="000000" w:themeColor="text1"/>
          <w:lang w:val="en-CA"/>
        </w:rPr>
        <w:t>ky: This sets a tone of quiet beginning, hope, and wonder creating a sense of possibility and longing for what’s beyond a vast landscape. The shimmering violins use harmonics to imply the heights we’re looking up at. The interaction between the soloist and the orchestra mirror the two friends working in parallel, building, putting pieces of the preludes motifs together to form something unique to the player.</w:t>
      </w:r>
    </w:p>
    <w:p w14:paraId="5C9910BF" w14:textId="77777777" w:rsidR="006A67CD" w:rsidRPr="006A67CD" w:rsidRDefault="006A67CD" w:rsidP="006A67CD">
      <w:pPr>
        <w:spacing w:line="240" w:lineRule="auto"/>
        <w:rPr>
          <w:rFonts w:eastAsia="Verdana"/>
          <w:color w:val="000000" w:themeColor="text1"/>
          <w:lang w:val="en-CA"/>
        </w:rPr>
      </w:pPr>
    </w:p>
    <w:p w14:paraId="0E8BD7C3" w14:textId="0363C069" w:rsidR="006A67CD" w:rsidRDefault="006A67CD" w:rsidP="006A67CD">
      <w:pPr>
        <w:pStyle w:val="ListParagraph"/>
        <w:numPr>
          <w:ilvl w:val="0"/>
          <w:numId w:val="6"/>
        </w:numPr>
        <w:spacing w:line="240" w:lineRule="auto"/>
        <w:ind w:left="567" w:hanging="283"/>
        <w:rPr>
          <w:rFonts w:eastAsia="Verdana"/>
          <w:color w:val="000000" w:themeColor="text1"/>
          <w:lang w:val="en-CA"/>
        </w:rPr>
      </w:pPr>
      <w:r w:rsidRPr="006A67CD">
        <w:rPr>
          <w:rFonts w:eastAsia="Verdana"/>
          <w:color w:val="000000" w:themeColor="text1"/>
          <w:lang w:val="en-CA"/>
        </w:rPr>
        <w:t>Engine</w:t>
      </w:r>
      <w:r>
        <w:rPr>
          <w:rFonts w:eastAsia="Verdana"/>
          <w:color w:val="000000" w:themeColor="text1"/>
          <w:lang w:val="en-CA"/>
        </w:rPr>
        <w:t xml:space="preserve">: </w:t>
      </w:r>
      <w:r w:rsidRPr="006A67CD">
        <w:rPr>
          <w:rFonts w:eastAsia="Verdana"/>
          <w:color w:val="000000" w:themeColor="text1"/>
          <w:lang w:val="en-CA"/>
        </w:rPr>
        <w:t>Motion is introduced as this movement turns over the themes as if willing an engine to motor up. It is the decision to pursue a stage, an opportunity, a destination. The woodwind section in particular illuminates the connection between the will to continue and the support of a friend, there in the audience or celebrating after an acceptance letter, going over hopes and worries while walking through a farmer’s market. Little moments that affirm our efforts.</w:t>
      </w:r>
    </w:p>
    <w:p w14:paraId="645F46E3" w14:textId="77777777" w:rsidR="006A67CD" w:rsidRPr="006A67CD" w:rsidRDefault="006A67CD" w:rsidP="006A67CD">
      <w:pPr>
        <w:pStyle w:val="ListParagraph"/>
        <w:rPr>
          <w:rFonts w:eastAsia="Verdana"/>
          <w:color w:val="000000" w:themeColor="text1"/>
          <w:lang w:val="en-CA"/>
        </w:rPr>
      </w:pPr>
    </w:p>
    <w:p w14:paraId="25E10991" w14:textId="7B688BFC" w:rsidR="006A67CD" w:rsidRDefault="006A67CD" w:rsidP="006A67CD">
      <w:pPr>
        <w:pStyle w:val="ListParagraph"/>
        <w:numPr>
          <w:ilvl w:val="0"/>
          <w:numId w:val="6"/>
        </w:numPr>
        <w:spacing w:line="240" w:lineRule="auto"/>
        <w:ind w:left="567" w:hanging="283"/>
        <w:rPr>
          <w:rFonts w:eastAsia="Verdana"/>
          <w:color w:val="000000" w:themeColor="text1"/>
          <w:lang w:val="en-CA"/>
        </w:rPr>
      </w:pPr>
      <w:r w:rsidRPr="006A67CD">
        <w:rPr>
          <w:rFonts w:eastAsia="Verdana"/>
          <w:color w:val="000000" w:themeColor="text1"/>
          <w:lang w:val="en-CA"/>
        </w:rPr>
        <w:t>Lift</w:t>
      </w:r>
      <w:r>
        <w:rPr>
          <w:rFonts w:eastAsia="Verdana"/>
          <w:color w:val="000000" w:themeColor="text1"/>
          <w:lang w:val="en-CA"/>
        </w:rPr>
        <w:t xml:space="preserve">: </w:t>
      </w:r>
      <w:r w:rsidRPr="006A67CD">
        <w:rPr>
          <w:rFonts w:eastAsia="Verdana"/>
          <w:color w:val="000000" w:themeColor="text1"/>
          <w:lang w:val="en-CA"/>
        </w:rPr>
        <w:t>The first goal is achieved, perhaps through one successful audition or the faith of a teacher or friend or family member (or a combination of all), enough to warrant further risk, continuation through failed auditions, rejection letters, and calls that never came. </w:t>
      </w:r>
    </w:p>
    <w:p w14:paraId="683B7FD7" w14:textId="77777777" w:rsidR="00C363D1" w:rsidRPr="00C363D1" w:rsidRDefault="00C363D1" w:rsidP="00C363D1">
      <w:pPr>
        <w:pStyle w:val="ListParagraph"/>
        <w:rPr>
          <w:rFonts w:eastAsia="Verdana"/>
          <w:color w:val="000000" w:themeColor="text1"/>
          <w:lang w:val="en-CA"/>
        </w:rPr>
      </w:pPr>
    </w:p>
    <w:p w14:paraId="4538BC38" w14:textId="70D57044" w:rsidR="006A67CD" w:rsidRDefault="006A67CD" w:rsidP="00C363D1">
      <w:pPr>
        <w:pStyle w:val="ListParagraph"/>
        <w:numPr>
          <w:ilvl w:val="0"/>
          <w:numId w:val="6"/>
        </w:numPr>
        <w:spacing w:line="240" w:lineRule="auto"/>
        <w:ind w:left="567" w:hanging="283"/>
        <w:rPr>
          <w:rFonts w:eastAsia="Verdana"/>
          <w:color w:val="000000" w:themeColor="text1"/>
          <w:lang w:val="en-CA"/>
        </w:rPr>
      </w:pPr>
      <w:r w:rsidRPr="00C363D1">
        <w:rPr>
          <w:rFonts w:eastAsia="Verdana"/>
          <w:color w:val="000000" w:themeColor="text1"/>
          <w:lang w:val="en-CA"/>
        </w:rPr>
        <w:t>Earth</w:t>
      </w:r>
      <w:r w:rsidR="00C363D1">
        <w:rPr>
          <w:rFonts w:eastAsia="Verdana"/>
          <w:color w:val="000000" w:themeColor="text1"/>
          <w:lang w:val="en-CA"/>
        </w:rPr>
        <w:t xml:space="preserve">: </w:t>
      </w:r>
      <w:r w:rsidRPr="00C363D1">
        <w:rPr>
          <w:rFonts w:eastAsia="Verdana"/>
          <w:color w:val="000000" w:themeColor="text1"/>
          <w:lang w:val="en-CA"/>
        </w:rPr>
        <w:t xml:space="preserve">You have achieved more than your younger self could have hoped for, but you’ve also seen how much further you can go when one too many rejections finally </w:t>
      </w:r>
      <w:proofErr w:type="gramStart"/>
      <w:r w:rsidRPr="00C363D1">
        <w:rPr>
          <w:rFonts w:eastAsia="Verdana"/>
          <w:color w:val="000000" w:themeColor="text1"/>
          <w:lang w:val="en-CA"/>
        </w:rPr>
        <w:t>breaks</w:t>
      </w:r>
      <w:proofErr w:type="gramEnd"/>
      <w:r w:rsidRPr="00C363D1">
        <w:rPr>
          <w:rFonts w:eastAsia="Verdana"/>
          <w:color w:val="000000" w:themeColor="text1"/>
          <w:lang w:val="en-CA"/>
        </w:rPr>
        <w:t xml:space="preserve"> your sail. Back to earth, a bit lost. </w:t>
      </w:r>
    </w:p>
    <w:p w14:paraId="623BAE5D" w14:textId="77777777" w:rsidR="00C363D1" w:rsidRPr="00C363D1" w:rsidRDefault="00C363D1" w:rsidP="00C363D1">
      <w:pPr>
        <w:pStyle w:val="ListParagraph"/>
        <w:rPr>
          <w:rFonts w:eastAsia="Verdana"/>
          <w:color w:val="000000" w:themeColor="text1"/>
          <w:lang w:val="en-CA"/>
        </w:rPr>
      </w:pPr>
    </w:p>
    <w:p w14:paraId="2C998131" w14:textId="7620EBDD" w:rsidR="006A67CD" w:rsidRDefault="006A67CD" w:rsidP="00C363D1">
      <w:pPr>
        <w:pStyle w:val="ListParagraph"/>
        <w:numPr>
          <w:ilvl w:val="0"/>
          <w:numId w:val="6"/>
        </w:numPr>
        <w:spacing w:line="240" w:lineRule="auto"/>
        <w:ind w:left="567" w:hanging="283"/>
        <w:rPr>
          <w:rFonts w:eastAsia="Verdana"/>
          <w:color w:val="000000" w:themeColor="text1"/>
          <w:lang w:val="en-CA"/>
        </w:rPr>
      </w:pPr>
      <w:r w:rsidRPr="00C363D1">
        <w:rPr>
          <w:rFonts w:eastAsia="Verdana"/>
          <w:color w:val="000000" w:themeColor="text1"/>
          <w:lang w:val="en-CA"/>
        </w:rPr>
        <w:t>Ascent</w:t>
      </w:r>
      <w:r w:rsidR="00C363D1">
        <w:rPr>
          <w:rFonts w:eastAsia="Verdana"/>
          <w:color w:val="000000" w:themeColor="text1"/>
          <w:lang w:val="en-CA"/>
        </w:rPr>
        <w:t xml:space="preserve">: </w:t>
      </w:r>
      <w:r w:rsidRPr="00C363D1">
        <w:rPr>
          <w:rFonts w:eastAsia="Verdana"/>
          <w:color w:val="000000" w:themeColor="text1"/>
          <w:lang w:val="en-CA"/>
        </w:rPr>
        <w:t>Painfully, and only after years of silence, acceptance grounds you enough to decide whether to keep practicing or let this dream die. Unclear which path is chosen, there is freedom on either side of that choice.</w:t>
      </w:r>
    </w:p>
    <w:p w14:paraId="36190E30" w14:textId="77777777" w:rsidR="006A67CD" w:rsidRPr="006A67CD" w:rsidRDefault="006A67CD" w:rsidP="006A67CD">
      <w:pPr>
        <w:spacing w:line="240" w:lineRule="auto"/>
        <w:rPr>
          <w:rFonts w:eastAsia="Verdana"/>
          <w:color w:val="000000" w:themeColor="text1"/>
          <w:lang w:val="en-CA"/>
        </w:rPr>
      </w:pPr>
    </w:p>
    <w:p w14:paraId="7A4213C9" w14:textId="2A0BC058" w:rsidR="006A67CD" w:rsidRDefault="006A67CD" w:rsidP="006A67CD">
      <w:pPr>
        <w:spacing w:line="240" w:lineRule="auto"/>
        <w:rPr>
          <w:rFonts w:eastAsia="Verdana"/>
          <w:color w:val="000000" w:themeColor="text1"/>
          <w:lang w:val="en-CA"/>
        </w:rPr>
      </w:pPr>
      <w:r w:rsidRPr="006A67CD">
        <w:rPr>
          <w:rFonts w:eastAsia="Verdana"/>
          <w:i/>
          <w:iCs/>
          <w:color w:val="000000" w:themeColor="text1"/>
          <w:lang w:val="en-CA"/>
        </w:rPr>
        <w:t xml:space="preserve">View of a Cartwheel </w:t>
      </w:r>
      <w:r w:rsidR="004A50F0">
        <w:rPr>
          <w:rFonts w:eastAsia="Verdana"/>
          <w:i/>
          <w:iCs/>
          <w:color w:val="000000" w:themeColor="text1"/>
          <w:lang w:val="en-CA"/>
        </w:rPr>
        <w:t>F</w:t>
      </w:r>
      <w:r w:rsidRPr="006A67CD">
        <w:rPr>
          <w:rFonts w:eastAsia="Verdana"/>
          <w:i/>
          <w:iCs/>
          <w:color w:val="000000" w:themeColor="text1"/>
          <w:lang w:val="en-CA"/>
        </w:rPr>
        <w:t xml:space="preserve">rom </w:t>
      </w:r>
      <w:r w:rsidR="004A50F0">
        <w:rPr>
          <w:rFonts w:eastAsia="Verdana"/>
          <w:i/>
          <w:iCs/>
          <w:color w:val="000000" w:themeColor="text1"/>
          <w:lang w:val="en-CA"/>
        </w:rPr>
        <w:t>A</w:t>
      </w:r>
      <w:r w:rsidRPr="006A67CD">
        <w:rPr>
          <w:rFonts w:eastAsia="Verdana"/>
          <w:i/>
          <w:iCs/>
          <w:color w:val="000000" w:themeColor="text1"/>
          <w:lang w:val="en-CA"/>
        </w:rPr>
        <w:t>n Ascending Plane</w:t>
      </w:r>
      <w:r w:rsidRPr="006A67CD">
        <w:rPr>
          <w:rFonts w:eastAsia="Verdana"/>
          <w:color w:val="000000" w:themeColor="text1"/>
          <w:lang w:val="en-CA"/>
        </w:rPr>
        <w:t xml:space="preserve"> explores the intersection of professional evolution and personal relationship. The work serves as a thematic collage, mapping the trajectory of musical ambition—from the discipline of education and practice to the fulfillment of artistic realization.</w:t>
      </w:r>
    </w:p>
    <w:p w14:paraId="04B8A9F6" w14:textId="77777777" w:rsidR="00C363D1" w:rsidRPr="006A67CD" w:rsidRDefault="00C363D1" w:rsidP="006A67CD">
      <w:pPr>
        <w:spacing w:line="240" w:lineRule="auto"/>
        <w:rPr>
          <w:rFonts w:eastAsia="Verdana"/>
          <w:color w:val="000000" w:themeColor="text1"/>
          <w:lang w:val="en-CA"/>
        </w:rPr>
      </w:pPr>
    </w:p>
    <w:p w14:paraId="3AA4A141" w14:textId="77777777" w:rsidR="00A93192" w:rsidRPr="006A67CD" w:rsidRDefault="00000000" w:rsidP="006A67CD">
      <w:pPr>
        <w:spacing w:line="240" w:lineRule="auto"/>
        <w:rPr>
          <w:color w:val="000000" w:themeColor="text1"/>
        </w:rPr>
      </w:pPr>
      <w:r w:rsidRPr="006A67CD">
        <w:rPr>
          <w:rFonts w:eastAsia="Verdana"/>
          <w:color w:val="000000" w:themeColor="text1"/>
          <w:u w:val="single"/>
        </w:rPr>
        <w:t xml:space="preserve"> </w:t>
      </w:r>
    </w:p>
    <w:sectPr w:rsidR="00A93192" w:rsidRPr="006A67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1C2035B-9B21-42B6-B904-55E466A1F5E7}"/>
    <w:embedBold r:id="rId2" w:fontKey="{F7EE077C-BFDD-493F-8BC0-4B5B016ACDDA}"/>
    <w:embedItalic r:id="rId3" w:fontKey="{D647A1ED-03E4-49DE-86D3-E51C46F17C6C}"/>
  </w:font>
  <w:font w:name="Calibri">
    <w:panose1 w:val="020F0502020204030204"/>
    <w:charset w:val="00"/>
    <w:family w:val="swiss"/>
    <w:pitch w:val="variable"/>
    <w:sig w:usb0="E4002EFF" w:usb1="C200247B" w:usb2="00000009" w:usb3="00000000" w:csb0="000001FF" w:csb1="00000000"/>
    <w:embedRegular r:id="rId4" w:fontKey="{58664C07-9826-4BA4-9C74-61AB7237BB64}"/>
  </w:font>
  <w:font w:name="Cambria">
    <w:panose1 w:val="02040503050406030204"/>
    <w:charset w:val="00"/>
    <w:family w:val="roman"/>
    <w:pitch w:val="variable"/>
    <w:sig w:usb0="E00006FF" w:usb1="420024FF" w:usb2="02000000" w:usb3="00000000" w:csb0="0000019F" w:csb1="00000000"/>
    <w:embedRegular r:id="rId5" w:fontKey="{344CDC36-C4F8-404B-96CA-A76478329E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2D5F52"/>
    <w:multiLevelType w:val="hybridMultilevel"/>
    <w:tmpl w:val="BE22B74A"/>
    <w:lvl w:ilvl="0" w:tplc="CD804B94">
      <w:start w:val="1"/>
      <w:numFmt w:val="upperRoman"/>
      <w:lvlText w:val="%1."/>
      <w:lvlJc w:val="left"/>
      <w:pPr>
        <w:ind w:left="862" w:hanging="72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77A833D6"/>
    <w:multiLevelType w:val="multilevel"/>
    <w:tmpl w:val="90B62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1635200">
    <w:abstractNumId w:val="1"/>
    <w:lvlOverride w:ilvl="0">
      <w:lvl w:ilvl="0">
        <w:numFmt w:val="upperRoman"/>
        <w:lvlText w:val="%1."/>
        <w:lvlJc w:val="right"/>
      </w:lvl>
    </w:lvlOverride>
  </w:num>
  <w:num w:numId="2" w16cid:durableId="147675860">
    <w:abstractNumId w:val="1"/>
    <w:lvlOverride w:ilvl="0">
      <w:lvl w:ilvl="0">
        <w:numFmt w:val="upperRoman"/>
        <w:lvlText w:val="%1."/>
        <w:lvlJc w:val="right"/>
      </w:lvl>
    </w:lvlOverride>
  </w:num>
  <w:num w:numId="3" w16cid:durableId="1195650289">
    <w:abstractNumId w:val="1"/>
    <w:lvlOverride w:ilvl="0">
      <w:lvl w:ilvl="0">
        <w:numFmt w:val="upperRoman"/>
        <w:lvlText w:val="%1."/>
        <w:lvlJc w:val="right"/>
      </w:lvl>
    </w:lvlOverride>
  </w:num>
  <w:num w:numId="4" w16cid:durableId="223833272">
    <w:abstractNumId w:val="1"/>
    <w:lvlOverride w:ilvl="0">
      <w:lvl w:ilvl="0">
        <w:numFmt w:val="upperRoman"/>
        <w:lvlText w:val="%1."/>
        <w:lvlJc w:val="right"/>
      </w:lvl>
    </w:lvlOverride>
  </w:num>
  <w:num w:numId="5" w16cid:durableId="414863338">
    <w:abstractNumId w:val="1"/>
    <w:lvlOverride w:ilvl="0">
      <w:lvl w:ilvl="0">
        <w:numFmt w:val="upperRoman"/>
        <w:lvlText w:val="%1."/>
        <w:lvlJc w:val="right"/>
      </w:lvl>
    </w:lvlOverride>
  </w:num>
  <w:num w:numId="6" w16cid:durableId="843857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192"/>
    <w:rsid w:val="00010717"/>
    <w:rsid w:val="000C2DF3"/>
    <w:rsid w:val="001B1430"/>
    <w:rsid w:val="003273BC"/>
    <w:rsid w:val="00357B41"/>
    <w:rsid w:val="004860E9"/>
    <w:rsid w:val="004A50F0"/>
    <w:rsid w:val="004D1D5C"/>
    <w:rsid w:val="005223DF"/>
    <w:rsid w:val="00683662"/>
    <w:rsid w:val="006A67CD"/>
    <w:rsid w:val="008B2AA3"/>
    <w:rsid w:val="009801E7"/>
    <w:rsid w:val="00984FA4"/>
    <w:rsid w:val="00A93192"/>
    <w:rsid w:val="00C14EB3"/>
    <w:rsid w:val="00C363D1"/>
    <w:rsid w:val="00D05D8D"/>
    <w:rsid w:val="00D51FAA"/>
    <w:rsid w:val="00E45ABE"/>
    <w:rsid w:val="00F34ED3"/>
    <w:rsid w:val="00F46FAE"/>
    <w:rsid w:val="00F875AC"/>
    <w:rsid w:val="00FB1214"/>
    <w:rsid w:val="00FD31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AAF8"/>
  <w15:docId w15:val="{2F51B12E-BB73-4B28-B807-25F309D0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A67CD"/>
    <w:rPr>
      <w:color w:val="0000FF" w:themeColor="hyperlink"/>
      <w:u w:val="single"/>
    </w:rPr>
  </w:style>
  <w:style w:type="character" w:styleId="UnresolvedMention">
    <w:name w:val="Unresolved Mention"/>
    <w:basedOn w:val="DefaultParagraphFont"/>
    <w:uiPriority w:val="99"/>
    <w:semiHidden/>
    <w:unhideWhenUsed/>
    <w:rsid w:val="006A67CD"/>
    <w:rPr>
      <w:color w:val="605E5C"/>
      <w:shd w:val="clear" w:color="auto" w:fill="E1DFDD"/>
    </w:rPr>
  </w:style>
  <w:style w:type="paragraph" w:styleId="ListParagraph">
    <w:name w:val="List Paragraph"/>
    <w:basedOn w:val="Normal"/>
    <w:uiPriority w:val="34"/>
    <w:qFormat/>
    <w:rsid w:val="006A67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421</Words>
  <Characters>2163</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Janet Mowat</cp:lastModifiedBy>
  <cp:revision>2</cp:revision>
  <dcterms:created xsi:type="dcterms:W3CDTF">2026-04-30T09:57:00Z</dcterms:created>
  <dcterms:modified xsi:type="dcterms:W3CDTF">2026-04-30T09:57:00Z</dcterms:modified>
</cp:coreProperties>
</file>